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Layout w:type="fixed"/>
        <w:tblLook w:val="04A0" w:firstRow="1" w:lastRow="0" w:firstColumn="1" w:lastColumn="0" w:noHBand="0" w:noVBand="1"/>
      </w:tblPr>
      <w:tblGrid>
        <w:gridCol w:w="1668"/>
        <w:gridCol w:w="7229"/>
      </w:tblGrid>
      <w:tr w:rsidR="00981EF4">
        <w:trPr>
          <w:trHeight w:val="1270"/>
        </w:trPr>
        <w:tc>
          <w:tcPr>
            <w:tcW w:w="1668" w:type="dxa"/>
            <w:tcBorders>
              <w:right w:val="nil"/>
            </w:tcBorders>
            <w:vAlign w:val="center"/>
          </w:tcPr>
          <w:p w:rsidR="00981EF4" w:rsidRDefault="00F95FEF">
            <w:pPr>
              <w:pStyle w:val="Cabealho"/>
              <w:widowControl w:val="0"/>
              <w:jc w:val="center"/>
              <w:rPr>
                <w:sz w:val="20"/>
                <w:szCs w:val="20"/>
              </w:rPr>
            </w:pPr>
            <w:r>
              <w:rPr>
                <w:noProof/>
                <w:lang w:eastAsia="pt-BR"/>
              </w:rPr>
              <w:drawing>
                <wp:inline distT="0" distB="0" distL="0" distR="0">
                  <wp:extent cx="800100" cy="61912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8"/>
                          <a:stretch>
                            <a:fillRect/>
                          </a:stretch>
                        </pic:blipFill>
                        <pic:spPr bwMode="auto">
                          <a:xfrm>
                            <a:off x="0" y="0"/>
                            <a:ext cx="800100" cy="619125"/>
                          </a:xfrm>
                          <a:prstGeom prst="rect">
                            <a:avLst/>
                          </a:prstGeom>
                        </pic:spPr>
                      </pic:pic>
                    </a:graphicData>
                  </a:graphic>
                </wp:inline>
              </w:drawing>
            </w:r>
          </w:p>
        </w:tc>
        <w:tc>
          <w:tcPr>
            <w:tcW w:w="7228" w:type="dxa"/>
            <w:tcBorders>
              <w:left w:val="nil"/>
            </w:tcBorders>
            <w:vAlign w:val="center"/>
          </w:tcPr>
          <w:p w:rsidR="00981EF4" w:rsidRDefault="00F95FEF">
            <w:pPr>
              <w:pStyle w:val="Cabealho"/>
              <w:widowControl w:val="0"/>
              <w:rPr>
                <w:b/>
                <w:sz w:val="20"/>
                <w:szCs w:val="20"/>
              </w:rPr>
            </w:pPr>
            <w:r>
              <w:rPr>
                <w:rFonts w:eastAsia="Calibri"/>
                <w:b/>
                <w:sz w:val="20"/>
                <w:szCs w:val="20"/>
              </w:rPr>
              <w:t>Prefeitura Municipal de Venda Nova do Imigrante</w:t>
            </w:r>
          </w:p>
          <w:p w:rsidR="00981EF4" w:rsidRDefault="00981EF4">
            <w:pPr>
              <w:pStyle w:val="Cabealho"/>
              <w:widowControl w:val="0"/>
              <w:rPr>
                <w:b/>
                <w:sz w:val="6"/>
                <w:szCs w:val="6"/>
              </w:rPr>
            </w:pPr>
          </w:p>
          <w:p w:rsidR="00981EF4" w:rsidRDefault="00F95FEF">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Av. Evandi Américo Comarela, 385, Esplanada, Venda Nova do Imigrante/ES</w:t>
            </w:r>
          </w:p>
          <w:p w:rsidR="00981EF4" w:rsidRDefault="00F95FEF">
            <w:pPr>
              <w:pStyle w:val="Rodap"/>
              <w:widowControl w:val="0"/>
              <w:rPr>
                <w:b/>
                <w:sz w:val="16"/>
                <w:szCs w:val="16"/>
              </w:rPr>
            </w:pPr>
            <w:r>
              <w:rPr>
                <w:rFonts w:eastAsia="Calibri"/>
                <w:b/>
                <w:sz w:val="16"/>
                <w:szCs w:val="16"/>
              </w:rPr>
              <w:t>CNPJ.: 31.723.497/0001-08  - CEP: 29375-000  - Telefone: (28) 3546-1188</w:t>
            </w:r>
          </w:p>
        </w:tc>
      </w:tr>
    </w:tbl>
    <w:p w:rsidR="00981EF4" w:rsidRDefault="00981EF4">
      <w:pPr>
        <w:spacing w:after="0" w:line="240" w:lineRule="auto"/>
        <w:jc w:val="both"/>
      </w:pPr>
    </w:p>
    <w:tbl>
      <w:tblPr>
        <w:tblStyle w:val="Tabelacomgrade"/>
        <w:tblpPr w:leftFromText="141" w:rightFromText="141" w:vertAnchor="text" w:tblpY="1"/>
        <w:tblW w:w="8897" w:type="dxa"/>
        <w:tblLayout w:type="fixed"/>
        <w:tblLook w:val="04A0" w:firstRow="1" w:lastRow="0" w:firstColumn="1" w:lastColumn="0" w:noHBand="0" w:noVBand="1"/>
      </w:tblPr>
      <w:tblGrid>
        <w:gridCol w:w="8897"/>
      </w:tblGrid>
      <w:tr w:rsidR="00981EF4">
        <w:trPr>
          <w:trHeight w:val="913"/>
        </w:trPr>
        <w:tc>
          <w:tcPr>
            <w:tcW w:w="8897" w:type="dxa"/>
            <w:shd w:val="clear" w:color="auto" w:fill="D9D9D9" w:themeFill="background1" w:themeFillShade="D9"/>
            <w:vAlign w:val="center"/>
          </w:tcPr>
          <w:p w:rsidR="00981EF4" w:rsidRDefault="00F95FEF">
            <w:pPr>
              <w:widowControl w:val="0"/>
              <w:spacing w:after="0" w:line="240" w:lineRule="auto"/>
              <w:jc w:val="center"/>
              <w:rPr>
                <w:b/>
              </w:rPr>
            </w:pPr>
            <w:r>
              <w:rPr>
                <w:rFonts w:eastAsia="Calibri"/>
                <w:b/>
              </w:rPr>
              <w:t>ESTUDO TÉCNICO PRELIMINAR</w:t>
            </w:r>
          </w:p>
        </w:tc>
      </w:tr>
      <w:tr w:rsidR="00981EF4" w:rsidRPr="00987B03">
        <w:trPr>
          <w:trHeight w:val="1209"/>
        </w:trPr>
        <w:tc>
          <w:tcPr>
            <w:tcW w:w="8897" w:type="dxa"/>
            <w:vAlign w:val="center"/>
          </w:tcPr>
          <w:p w:rsidR="00981EF4" w:rsidRPr="00987B03" w:rsidRDefault="00865494">
            <w:pPr>
              <w:widowControl w:val="0"/>
              <w:spacing w:after="0" w:line="240" w:lineRule="auto"/>
              <w:jc w:val="both"/>
              <w:rPr>
                <w:sz w:val="20"/>
                <w:szCs w:val="20"/>
              </w:rPr>
            </w:pPr>
            <w:r w:rsidRPr="00987B03">
              <w:rPr>
                <w:rFonts w:eastAsia="Calibri"/>
                <w:sz w:val="20"/>
                <w:szCs w:val="20"/>
              </w:rPr>
              <w:t xml:space="preserve">Este Estudo Técnico Preliminar - ETP - tem como objetivo assegurar a viabilidade técnica e a razoabilidade da contratação pública, para contratação de empresa especializada para Construção do CREAS, localizado na Rua José </w:t>
            </w:r>
            <w:proofErr w:type="spellStart"/>
            <w:r w:rsidRPr="00987B03">
              <w:rPr>
                <w:rFonts w:eastAsia="Calibri"/>
                <w:sz w:val="20"/>
                <w:szCs w:val="20"/>
              </w:rPr>
              <w:t>Altoé</w:t>
            </w:r>
            <w:proofErr w:type="spellEnd"/>
            <w:r w:rsidRPr="00987B03">
              <w:rPr>
                <w:rFonts w:eastAsia="Calibri"/>
                <w:sz w:val="20"/>
                <w:szCs w:val="20"/>
              </w:rPr>
              <w:t>, Bairro Vila da Mata, como base para a elaboração do Projeto Básico, de acordo com a Lei 8.666/1993, art. 6º, inciso IX.</w:t>
            </w:r>
          </w:p>
        </w:tc>
      </w:tr>
    </w:tbl>
    <w:tbl>
      <w:tblPr>
        <w:tblStyle w:val="Tabelacomgrade"/>
        <w:tblW w:w="8897" w:type="dxa"/>
        <w:tblLayout w:type="fixed"/>
        <w:tblLook w:val="04A0" w:firstRow="1" w:lastRow="0" w:firstColumn="1" w:lastColumn="0" w:noHBand="0" w:noVBand="1"/>
      </w:tblPr>
      <w:tblGrid>
        <w:gridCol w:w="4361"/>
        <w:gridCol w:w="4536"/>
      </w:tblGrid>
      <w:tr w:rsidR="00981EF4" w:rsidRPr="00987B03">
        <w:trPr>
          <w:trHeight w:val="403"/>
        </w:trPr>
        <w:tc>
          <w:tcPr>
            <w:tcW w:w="4361" w:type="dxa"/>
            <w:vAlign w:val="center"/>
          </w:tcPr>
          <w:p w:rsidR="00981EF4" w:rsidRPr="00987B03" w:rsidRDefault="00981EF4">
            <w:pPr>
              <w:widowControl w:val="0"/>
              <w:spacing w:after="0" w:line="240" w:lineRule="auto"/>
              <w:jc w:val="both"/>
              <w:rPr>
                <w:rFonts w:eastAsia="Calibri"/>
              </w:rPr>
            </w:pPr>
          </w:p>
        </w:tc>
        <w:tc>
          <w:tcPr>
            <w:tcW w:w="4535" w:type="dxa"/>
            <w:vAlign w:val="center"/>
          </w:tcPr>
          <w:p w:rsidR="00981EF4" w:rsidRPr="00987B03" w:rsidRDefault="00F95FEF" w:rsidP="00865494">
            <w:pPr>
              <w:widowControl w:val="0"/>
              <w:spacing w:after="0" w:line="240" w:lineRule="auto"/>
              <w:jc w:val="both"/>
              <w:rPr>
                <w:b/>
              </w:rPr>
            </w:pPr>
            <w:r w:rsidRPr="00987B03">
              <w:rPr>
                <w:rFonts w:eastAsia="Calibri"/>
                <w:b/>
              </w:rPr>
              <w:t xml:space="preserve">Data da Elaboração: </w:t>
            </w:r>
            <w:r w:rsidR="00865494" w:rsidRPr="00131C93">
              <w:rPr>
                <w:rFonts w:eastAsia="Calibri"/>
                <w:b/>
              </w:rPr>
              <w:t>22/11/2022</w:t>
            </w:r>
          </w:p>
        </w:tc>
      </w:tr>
      <w:tr w:rsidR="00981EF4">
        <w:tc>
          <w:tcPr>
            <w:tcW w:w="8896" w:type="dxa"/>
            <w:gridSpan w:val="2"/>
            <w:vAlign w:val="center"/>
          </w:tcPr>
          <w:p w:rsidR="00981EF4" w:rsidRPr="00987B03" w:rsidRDefault="00981EF4">
            <w:pPr>
              <w:widowControl w:val="0"/>
              <w:spacing w:after="0" w:line="240" w:lineRule="auto"/>
              <w:jc w:val="both"/>
              <w:rPr>
                <w:b/>
                <w:sz w:val="20"/>
                <w:szCs w:val="20"/>
              </w:rPr>
            </w:pP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Justificativa da necessidade </w:t>
            </w:r>
            <w:r w:rsidR="00865494" w:rsidRPr="00131C93">
              <w:rPr>
                <w:b/>
                <w:noProof/>
                <w:sz w:val="20"/>
                <w:szCs w:val="20"/>
                <w:lang w:eastAsia="pt-BR"/>
              </w:rPr>
              <w:t>–</w:t>
            </w:r>
            <w:r w:rsidRPr="00131C93">
              <w:rPr>
                <w:b/>
                <w:noProof/>
                <w:sz w:val="20"/>
                <w:szCs w:val="20"/>
                <w:lang w:eastAsia="pt-BR"/>
              </w:rPr>
              <w:t xml:space="preserve"> </w:t>
            </w:r>
            <w:r w:rsidR="00865494" w:rsidRPr="00131C93">
              <w:rPr>
                <w:b/>
                <w:noProof/>
                <w:sz w:val="20"/>
                <w:szCs w:val="20"/>
                <w:lang w:eastAsia="pt-BR"/>
              </w:rPr>
              <w:t>Eduardo Delfino Botacim</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elaboração da especificação - </w:t>
            </w:r>
            <w:r w:rsidR="00865494" w:rsidRPr="00131C93">
              <w:rPr>
                <w:b/>
                <w:noProof/>
                <w:sz w:val="20"/>
                <w:szCs w:val="20"/>
                <w:lang w:eastAsia="pt-BR"/>
              </w:rPr>
              <w:t>Eduardo Delfino Botacim</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aprovação da especificação </w:t>
            </w:r>
            <w:r w:rsidR="00A81888" w:rsidRPr="00131C93">
              <w:rPr>
                <w:b/>
                <w:noProof/>
                <w:sz w:val="20"/>
                <w:szCs w:val="20"/>
                <w:lang w:eastAsia="pt-BR"/>
              </w:rPr>
              <w:t>–</w:t>
            </w:r>
            <w:r w:rsidRPr="00131C93">
              <w:rPr>
                <w:b/>
                <w:noProof/>
                <w:sz w:val="20"/>
                <w:szCs w:val="20"/>
                <w:lang w:eastAsia="pt-BR"/>
              </w:rPr>
              <w:t xml:space="preserve"> </w:t>
            </w:r>
            <w:r w:rsidR="00A81888" w:rsidRPr="00131C93">
              <w:rPr>
                <w:b/>
                <w:noProof/>
                <w:sz w:val="20"/>
                <w:szCs w:val="20"/>
                <w:lang w:eastAsia="pt-BR"/>
              </w:rPr>
              <w:t>Wellington Bleidorn</w:t>
            </w:r>
            <w:r w:rsidRPr="00131C93">
              <w:rPr>
                <w:b/>
                <w:noProof/>
                <w:sz w:val="20"/>
                <w:szCs w:val="20"/>
                <w:lang w:eastAsia="pt-BR"/>
              </w:rPr>
              <w:t xml:space="preserve"> </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elaboração do quantitativo - </w:t>
            </w:r>
            <w:r w:rsidR="00865494" w:rsidRPr="00131C93">
              <w:rPr>
                <w:b/>
                <w:noProof/>
                <w:sz w:val="20"/>
                <w:szCs w:val="20"/>
                <w:lang w:eastAsia="pt-BR"/>
              </w:rPr>
              <w:t>Eduardo Delfino Botacim</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aprovação do quantitativo - </w:t>
            </w:r>
            <w:r w:rsidR="00A81888" w:rsidRPr="00131C93">
              <w:rPr>
                <w:b/>
                <w:noProof/>
                <w:sz w:val="20"/>
                <w:szCs w:val="20"/>
                <w:lang w:eastAsia="pt-BR"/>
              </w:rPr>
              <w:t>Wellington Bleidorn</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elaboração da pesquisa de mercado - </w:t>
            </w:r>
            <w:r w:rsidR="00865494" w:rsidRPr="00131C93">
              <w:rPr>
                <w:b/>
                <w:noProof/>
                <w:sz w:val="20"/>
                <w:szCs w:val="20"/>
                <w:lang w:eastAsia="pt-BR"/>
              </w:rPr>
              <w:t>Eduardo Delfino Botacim</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aprovação da pesquisa de mercado - </w:t>
            </w:r>
            <w:r w:rsidR="00A81888" w:rsidRPr="00131C93">
              <w:rPr>
                <w:b/>
                <w:noProof/>
                <w:sz w:val="20"/>
                <w:szCs w:val="20"/>
                <w:lang w:eastAsia="pt-BR"/>
              </w:rPr>
              <w:t>Wellington Bleidorn</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elaboração ETP - </w:t>
            </w:r>
            <w:r w:rsidR="00865494" w:rsidRPr="00131C93">
              <w:rPr>
                <w:b/>
                <w:noProof/>
                <w:sz w:val="20"/>
                <w:szCs w:val="20"/>
                <w:lang w:eastAsia="pt-BR"/>
              </w:rPr>
              <w:t>Eduardo Delfino Botacim</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aprovação ETP - </w:t>
            </w:r>
            <w:r w:rsidR="00A81888" w:rsidRPr="00131C93">
              <w:rPr>
                <w:b/>
                <w:noProof/>
                <w:sz w:val="20"/>
                <w:szCs w:val="20"/>
                <w:lang w:eastAsia="pt-BR"/>
              </w:rPr>
              <w:t>Wellington Bleidorn</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elaboração do Projeto Básico - </w:t>
            </w:r>
            <w:r w:rsidR="00865494" w:rsidRPr="00131C93">
              <w:rPr>
                <w:b/>
                <w:noProof/>
                <w:sz w:val="20"/>
                <w:szCs w:val="20"/>
                <w:lang w:eastAsia="pt-BR"/>
              </w:rPr>
              <w:t>Eduardo Delfino Botacim</w:t>
            </w:r>
          </w:p>
          <w:p w:rsidR="00981EF4" w:rsidRPr="00131C93" w:rsidRDefault="00F95FEF" w:rsidP="00131C93">
            <w:pPr>
              <w:pStyle w:val="Cabealho"/>
              <w:widowControl w:val="0"/>
              <w:rPr>
                <w:b/>
                <w:noProof/>
                <w:sz w:val="20"/>
                <w:szCs w:val="20"/>
                <w:lang w:eastAsia="pt-BR"/>
              </w:rPr>
            </w:pPr>
            <w:r w:rsidRPr="00131C93">
              <w:rPr>
                <w:b/>
                <w:noProof/>
                <w:sz w:val="20"/>
                <w:szCs w:val="20"/>
                <w:lang w:eastAsia="pt-BR"/>
              </w:rPr>
              <w:t xml:space="preserve">Responsável pela aprovação do Projeto Básico - </w:t>
            </w:r>
            <w:r w:rsidR="00A81888" w:rsidRPr="00131C93">
              <w:rPr>
                <w:b/>
                <w:noProof/>
                <w:sz w:val="20"/>
                <w:szCs w:val="20"/>
                <w:lang w:eastAsia="pt-BR"/>
              </w:rPr>
              <w:t>Wellington Bleidorn</w:t>
            </w:r>
          </w:p>
          <w:p w:rsidR="00981EF4" w:rsidRPr="00131C93" w:rsidRDefault="00981EF4" w:rsidP="00131C93">
            <w:pPr>
              <w:pStyle w:val="Cabealho"/>
              <w:widowControl w:val="0"/>
              <w:rPr>
                <w:noProof/>
                <w:lang w:eastAsia="pt-BR"/>
              </w:rPr>
            </w:pPr>
          </w:p>
          <w:p w:rsidR="00981EF4" w:rsidRDefault="00981EF4">
            <w:pPr>
              <w:widowControl w:val="0"/>
              <w:spacing w:after="0" w:line="240" w:lineRule="auto"/>
              <w:jc w:val="both"/>
              <w:rPr>
                <w:rFonts w:eastAsia="Calibri"/>
              </w:rPr>
            </w:pPr>
          </w:p>
          <w:p w:rsidR="00981EF4" w:rsidRDefault="00981EF4">
            <w:pPr>
              <w:widowControl w:val="0"/>
              <w:spacing w:after="0" w:line="240" w:lineRule="auto"/>
              <w:jc w:val="both"/>
              <w:rPr>
                <w:rFonts w:eastAsia="Calibri"/>
              </w:rPr>
            </w:pPr>
          </w:p>
        </w:tc>
      </w:tr>
    </w:tbl>
    <w:p w:rsidR="00981EF4" w:rsidRDefault="00981EF4">
      <w:pPr>
        <w:spacing w:after="0" w:line="240" w:lineRule="auto"/>
        <w:jc w:val="both"/>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 xml:space="preserve">1. DESCRIÇÃO DA NECESSIDADE </w:t>
            </w:r>
          </w:p>
        </w:tc>
      </w:tr>
      <w:tr w:rsidR="00981EF4">
        <w:tc>
          <w:tcPr>
            <w:tcW w:w="8927" w:type="dxa"/>
          </w:tcPr>
          <w:p w:rsidR="00865494" w:rsidRDefault="00865494" w:rsidP="00865494">
            <w:pPr>
              <w:spacing w:after="0" w:line="240" w:lineRule="auto"/>
              <w:jc w:val="both"/>
              <w:rPr>
                <w:rFonts w:eastAsia="Calibri"/>
                <w:sz w:val="20"/>
                <w:szCs w:val="20"/>
              </w:rPr>
            </w:pPr>
          </w:p>
          <w:p w:rsidR="00865494" w:rsidRDefault="00865494" w:rsidP="00865494">
            <w:pPr>
              <w:spacing w:after="0" w:line="240" w:lineRule="auto"/>
              <w:jc w:val="both"/>
              <w:rPr>
                <w:sz w:val="20"/>
                <w:szCs w:val="20"/>
              </w:rPr>
            </w:pPr>
            <w:r>
              <w:rPr>
                <w:rFonts w:eastAsia="Calibri"/>
                <w:sz w:val="20"/>
                <w:szCs w:val="20"/>
              </w:rPr>
              <w:t>Considerando que atualmente, há a necessidade de mais áreas para acesso da população à assistência social.</w:t>
            </w:r>
          </w:p>
          <w:p w:rsidR="00981EF4" w:rsidRDefault="00981EF4">
            <w:pPr>
              <w:widowControl w:val="0"/>
              <w:spacing w:after="0" w:line="240" w:lineRule="auto"/>
              <w:jc w:val="both"/>
              <w:rPr>
                <w:rFonts w:eastAsia="Calibri"/>
              </w:rPr>
            </w:pP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2. REQUISITOS DA CONTRATAÇÃO</w:t>
            </w:r>
          </w:p>
        </w:tc>
      </w:tr>
      <w:tr w:rsidR="00981EF4">
        <w:tc>
          <w:tcPr>
            <w:tcW w:w="8927" w:type="dxa"/>
          </w:tcPr>
          <w:p w:rsidR="00981EF4" w:rsidRPr="00A81888" w:rsidRDefault="00981EF4">
            <w:pPr>
              <w:widowControl w:val="0"/>
              <w:spacing w:after="0" w:line="240" w:lineRule="auto"/>
              <w:rPr>
                <w:rFonts w:eastAsia="Calibri"/>
              </w:rPr>
            </w:pPr>
          </w:p>
          <w:p w:rsidR="00981EF4" w:rsidRPr="00A81888" w:rsidRDefault="00F95FEF">
            <w:pPr>
              <w:widowControl w:val="0"/>
              <w:spacing w:after="0" w:line="240" w:lineRule="auto"/>
              <w:rPr>
                <w:sz w:val="20"/>
                <w:szCs w:val="20"/>
              </w:rPr>
            </w:pPr>
            <w:r w:rsidRPr="00A81888">
              <w:rPr>
                <w:rFonts w:eastAsia="Calibri"/>
                <w:sz w:val="20"/>
                <w:szCs w:val="20"/>
              </w:rPr>
              <w:t xml:space="preserve">A empresa a ser contratada deverá possuir a seguinte QUALIFICAÇÃO TÉCNICA </w:t>
            </w:r>
          </w:p>
          <w:p w:rsidR="00981EF4" w:rsidRPr="00A81888" w:rsidRDefault="00981EF4">
            <w:pPr>
              <w:widowControl w:val="0"/>
              <w:spacing w:after="0" w:line="240" w:lineRule="auto"/>
              <w:ind w:firstLine="360"/>
              <w:jc w:val="both"/>
              <w:rPr>
                <w:sz w:val="20"/>
                <w:szCs w:val="20"/>
              </w:rPr>
            </w:pPr>
          </w:p>
          <w:p w:rsidR="00981EF4" w:rsidRPr="00A81888" w:rsidRDefault="00F95FEF">
            <w:pPr>
              <w:widowControl w:val="0"/>
              <w:spacing w:after="0" w:line="240" w:lineRule="auto"/>
              <w:jc w:val="both"/>
              <w:rPr>
                <w:sz w:val="20"/>
                <w:szCs w:val="20"/>
              </w:rPr>
            </w:pPr>
            <w:r w:rsidRPr="00A81888">
              <w:rPr>
                <w:rFonts w:eastAsia="Calibri"/>
                <w:b/>
                <w:sz w:val="20"/>
                <w:szCs w:val="20"/>
              </w:rPr>
              <w:t xml:space="preserve">a) </w:t>
            </w:r>
            <w:r w:rsidRPr="00A81888">
              <w:rPr>
                <w:rFonts w:eastAsia="Calibri"/>
                <w:sz w:val="20"/>
                <w:szCs w:val="20"/>
              </w:rPr>
              <w:t xml:space="preserve">Registro e regularidade da licitante e de seus responsáveis técnicos nas entidades profissionais competentes que permita a execução dos serviços, objeto desta licitação, comprovada através de certidão do órgão e em dia. 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981EF4" w:rsidRPr="00A81888" w:rsidRDefault="00981EF4">
            <w:pPr>
              <w:widowControl w:val="0"/>
              <w:spacing w:after="0" w:line="240" w:lineRule="auto"/>
              <w:ind w:firstLine="360"/>
              <w:jc w:val="both"/>
              <w:rPr>
                <w:sz w:val="20"/>
                <w:szCs w:val="20"/>
              </w:rPr>
            </w:pPr>
          </w:p>
          <w:p w:rsidR="00981EF4" w:rsidRPr="00A81888" w:rsidRDefault="00F95FEF">
            <w:pPr>
              <w:widowControl w:val="0"/>
              <w:spacing w:after="0" w:line="240" w:lineRule="auto"/>
              <w:jc w:val="both"/>
              <w:rPr>
                <w:sz w:val="20"/>
                <w:szCs w:val="20"/>
              </w:rPr>
            </w:pPr>
            <w:r w:rsidRPr="00A81888">
              <w:rPr>
                <w:rFonts w:eastAsia="Calibri"/>
                <w:b/>
                <w:sz w:val="20"/>
                <w:szCs w:val="20"/>
              </w:rPr>
              <w:t>b)</w:t>
            </w:r>
            <w:r w:rsidRPr="00A81888">
              <w:rPr>
                <w:rFonts w:eastAsia="Calibri"/>
                <w:sz w:val="20"/>
                <w:szCs w:val="20"/>
              </w:rPr>
              <w:t xml:space="preserve"> Certificado de cadastramento/habilitação emitido pela prefeitura municipal de Venda Nova do Imigrante, em dia, na data da abertura da licitação. </w:t>
            </w:r>
          </w:p>
          <w:p w:rsidR="00981EF4" w:rsidRPr="00A81888" w:rsidRDefault="00981EF4">
            <w:pPr>
              <w:widowControl w:val="0"/>
              <w:spacing w:after="0" w:line="240" w:lineRule="auto"/>
              <w:ind w:firstLine="360"/>
              <w:jc w:val="both"/>
              <w:rPr>
                <w:sz w:val="20"/>
                <w:szCs w:val="20"/>
              </w:rPr>
            </w:pPr>
          </w:p>
          <w:p w:rsidR="00981EF4" w:rsidRPr="00A81888" w:rsidRDefault="00F95FEF">
            <w:pPr>
              <w:widowControl w:val="0"/>
              <w:spacing w:after="0" w:line="240" w:lineRule="auto"/>
              <w:jc w:val="both"/>
              <w:rPr>
                <w:sz w:val="20"/>
                <w:szCs w:val="20"/>
              </w:rPr>
            </w:pPr>
            <w:r w:rsidRPr="00A81888">
              <w:rPr>
                <w:rFonts w:eastAsia="Calibri"/>
                <w:b/>
                <w:sz w:val="20"/>
                <w:szCs w:val="20"/>
              </w:rPr>
              <w:t xml:space="preserve">c) </w:t>
            </w:r>
            <w:r w:rsidRPr="00A81888">
              <w:rPr>
                <w:rFonts w:eastAsia="Calibri"/>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981EF4" w:rsidRPr="00A81888" w:rsidRDefault="00981EF4">
            <w:pPr>
              <w:widowControl w:val="0"/>
              <w:spacing w:after="0" w:line="240" w:lineRule="auto"/>
              <w:ind w:firstLine="360"/>
              <w:jc w:val="both"/>
              <w:rPr>
                <w:sz w:val="20"/>
                <w:szCs w:val="20"/>
              </w:rPr>
            </w:pPr>
          </w:p>
          <w:p w:rsidR="00981EF4" w:rsidRPr="00A81888" w:rsidRDefault="00F95FEF">
            <w:pPr>
              <w:widowControl w:val="0"/>
              <w:spacing w:after="0" w:line="240" w:lineRule="auto"/>
              <w:jc w:val="both"/>
              <w:rPr>
                <w:sz w:val="20"/>
                <w:szCs w:val="20"/>
              </w:rPr>
            </w:pPr>
            <w:r w:rsidRPr="00A81888">
              <w:rPr>
                <w:rFonts w:eastAsia="Calibri"/>
                <w:b/>
                <w:sz w:val="20"/>
                <w:szCs w:val="20"/>
              </w:rPr>
              <w:t>d)</w:t>
            </w:r>
            <w:r w:rsidRPr="00A81888">
              <w:rPr>
                <w:rFonts w:eastAsia="Calibri"/>
                <w:sz w:val="20"/>
                <w:szCs w:val="20"/>
              </w:rPr>
              <w:t xml:space="preserve"> A comprovação da capacidade técnica será feita da seguinte forma: </w:t>
            </w:r>
          </w:p>
          <w:p w:rsidR="00981EF4" w:rsidRPr="00A81888" w:rsidRDefault="00981EF4">
            <w:pPr>
              <w:widowControl w:val="0"/>
              <w:spacing w:after="0" w:line="240" w:lineRule="auto"/>
              <w:ind w:firstLine="360"/>
              <w:jc w:val="both"/>
              <w:rPr>
                <w:sz w:val="20"/>
                <w:szCs w:val="20"/>
              </w:rPr>
            </w:pPr>
          </w:p>
          <w:p w:rsidR="008334BE" w:rsidRPr="008334BE" w:rsidRDefault="008334BE" w:rsidP="008334BE">
            <w:pPr>
              <w:pStyle w:val="PargrafodaLista"/>
              <w:numPr>
                <w:ilvl w:val="0"/>
                <w:numId w:val="5"/>
              </w:numPr>
              <w:spacing w:after="0" w:line="240" w:lineRule="auto"/>
              <w:ind w:left="1380"/>
              <w:jc w:val="both"/>
              <w:rPr>
                <w:color w:val="FF0000"/>
                <w:sz w:val="20"/>
                <w:szCs w:val="20"/>
              </w:rPr>
            </w:pPr>
            <w:r w:rsidRPr="008334BE">
              <w:rPr>
                <w:sz w:val="20"/>
                <w:szCs w:val="20"/>
              </w:rPr>
              <w:t>A</w:t>
            </w:r>
            <w:r w:rsidRPr="008334BE">
              <w:rPr>
                <w:sz w:val="20"/>
                <w:szCs w:val="20"/>
              </w:rPr>
              <w:t xml:space="preserve">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estrutura de concreto armado que corresponde a 33,61% do valor total da obra, cobertura em telha cerâmica que corresponde a 13,25% e piso em </w:t>
            </w:r>
            <w:proofErr w:type="spellStart"/>
            <w:r w:rsidRPr="008334BE">
              <w:rPr>
                <w:sz w:val="20"/>
                <w:szCs w:val="20"/>
              </w:rPr>
              <w:t>granilite</w:t>
            </w:r>
            <w:proofErr w:type="spellEnd"/>
            <w:r w:rsidRPr="008334BE">
              <w:rPr>
                <w:sz w:val="20"/>
                <w:szCs w:val="20"/>
              </w:rPr>
              <w:t xml:space="preserve"> que corresponde a 5,37% do valor total da obra, estes itens correspondem a 52,23% da obra visto isso, é necessário que o profissional tenha conhecimento prévio dos serviços citados anteriormente para que exista uma garantia de que a execução seja feita de acordo com os parâmetros, normas e métodos executivos corretos.</w:t>
            </w:r>
          </w:p>
          <w:p w:rsidR="00981EF4" w:rsidRPr="00A81888" w:rsidRDefault="00F95FEF">
            <w:pPr>
              <w:pStyle w:val="PargrafodaLista"/>
              <w:widowControl w:val="0"/>
              <w:numPr>
                <w:ilvl w:val="0"/>
                <w:numId w:val="1"/>
              </w:numPr>
              <w:spacing w:after="0" w:line="240" w:lineRule="auto"/>
              <w:jc w:val="both"/>
              <w:rPr>
                <w:sz w:val="20"/>
                <w:szCs w:val="20"/>
              </w:rPr>
            </w:pPr>
            <w:r w:rsidRPr="00A81888">
              <w:rPr>
                <w:rFonts w:eastAsia="Calibri"/>
                <w:sz w:val="20"/>
                <w:szCs w:val="20"/>
              </w:rPr>
              <w:t xml:space="preserve">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981EF4" w:rsidRPr="00A81888" w:rsidRDefault="00F95FEF">
            <w:pPr>
              <w:pStyle w:val="PargrafodaLista"/>
              <w:widowControl w:val="0"/>
              <w:numPr>
                <w:ilvl w:val="0"/>
                <w:numId w:val="1"/>
              </w:numPr>
              <w:spacing w:after="0" w:line="240" w:lineRule="auto"/>
              <w:jc w:val="both"/>
              <w:rPr>
                <w:sz w:val="20"/>
                <w:szCs w:val="20"/>
              </w:rPr>
            </w:pPr>
            <w:r w:rsidRPr="00A81888">
              <w:rPr>
                <w:rFonts w:eastAsia="Calibri"/>
                <w:sz w:val="20"/>
                <w:szCs w:val="20"/>
              </w:rPr>
              <w:t>Atestado de conclusão do serviço e descrição dos serviços executados; comprovação de vínculo de trabalho entre os técnicos indicados e a empresa licitante, esta comprovação poderá ser feita através de CTPS ou contrato de trabalho ou CREA/CAU.</w:t>
            </w:r>
          </w:p>
          <w:p w:rsidR="00981EF4" w:rsidRPr="00A81888" w:rsidRDefault="00981EF4">
            <w:pPr>
              <w:pStyle w:val="PargrafodaLista"/>
              <w:widowControl w:val="0"/>
              <w:spacing w:after="0" w:line="240" w:lineRule="auto"/>
              <w:jc w:val="both"/>
              <w:rPr>
                <w:sz w:val="20"/>
                <w:szCs w:val="20"/>
              </w:rPr>
            </w:pPr>
          </w:p>
          <w:p w:rsidR="00981EF4" w:rsidRPr="00A81888" w:rsidRDefault="00F95FEF">
            <w:pPr>
              <w:widowControl w:val="0"/>
              <w:spacing w:after="0" w:line="240" w:lineRule="auto"/>
              <w:jc w:val="both"/>
              <w:rPr>
                <w:sz w:val="20"/>
                <w:szCs w:val="20"/>
              </w:rPr>
            </w:pPr>
            <w:r w:rsidRPr="00A81888">
              <w:rPr>
                <w:rFonts w:eastAsia="Calibri"/>
                <w:b/>
                <w:sz w:val="20"/>
                <w:szCs w:val="20"/>
              </w:rPr>
              <w:t>e)</w:t>
            </w:r>
            <w:r w:rsidRPr="00A81888">
              <w:rPr>
                <w:rFonts w:eastAsia="Calibri"/>
                <w:sz w:val="20"/>
                <w:szCs w:val="20"/>
              </w:rPr>
              <w:t xml:space="preserve"> </w:t>
            </w:r>
            <w:r w:rsidRPr="00A81888">
              <w:rPr>
                <w:sz w:val="20"/>
                <w:szCs w:val="20"/>
              </w:rPr>
              <w:t>Capacidade Técnica Operacional</w:t>
            </w:r>
          </w:p>
          <w:p w:rsidR="00981EF4" w:rsidRPr="00A81888" w:rsidRDefault="00981EF4">
            <w:pPr>
              <w:widowControl w:val="0"/>
              <w:spacing w:after="0" w:line="240" w:lineRule="auto"/>
              <w:jc w:val="both"/>
              <w:rPr>
                <w:sz w:val="20"/>
                <w:szCs w:val="20"/>
              </w:rPr>
            </w:pPr>
          </w:p>
          <w:p w:rsidR="00981EF4" w:rsidRPr="00A81888" w:rsidRDefault="00F95FEF">
            <w:pPr>
              <w:pStyle w:val="PargrafodaLista"/>
              <w:widowControl w:val="0"/>
              <w:numPr>
                <w:ilvl w:val="0"/>
                <w:numId w:val="1"/>
              </w:numPr>
              <w:spacing w:after="0" w:line="240" w:lineRule="auto"/>
              <w:jc w:val="both"/>
              <w:rPr>
                <w:sz w:val="20"/>
                <w:szCs w:val="20"/>
              </w:rPr>
            </w:pPr>
            <w:r w:rsidRPr="00A81888">
              <w:rPr>
                <w:rFonts w:eastAsia="Calibri"/>
                <w:sz w:val="20"/>
                <w:szCs w:val="20"/>
              </w:rPr>
              <w:t>Comprovação de que a licitante executou/prestou, sem restrição, projeto, serviço e obra de características semelhantes ao licitado. A comprovação será feita por meio de apresentação de no mínimo 1 (um) Atestado com a devida ART de Execução da obra atestad</w:t>
            </w:r>
            <w:bookmarkStart w:id="0" w:name="_GoBack"/>
            <w:bookmarkEnd w:id="0"/>
            <w:r w:rsidRPr="00A81888">
              <w:rPr>
                <w:rFonts w:eastAsia="Calibri"/>
                <w:sz w:val="20"/>
                <w:szCs w:val="20"/>
              </w:rPr>
              <w:t>a;</w:t>
            </w:r>
          </w:p>
          <w:p w:rsidR="00981EF4" w:rsidRPr="00A81888" w:rsidRDefault="00981EF4">
            <w:pPr>
              <w:pStyle w:val="PargrafodaLista"/>
              <w:widowControl w:val="0"/>
              <w:spacing w:after="0" w:line="240" w:lineRule="auto"/>
              <w:jc w:val="both"/>
              <w:rPr>
                <w:sz w:val="20"/>
                <w:szCs w:val="20"/>
              </w:rPr>
            </w:pPr>
          </w:p>
          <w:p w:rsidR="00981EF4" w:rsidRPr="00A81888" w:rsidRDefault="00F95FEF">
            <w:pPr>
              <w:widowControl w:val="0"/>
              <w:numPr>
                <w:ilvl w:val="0"/>
                <w:numId w:val="1"/>
              </w:numPr>
              <w:spacing w:after="0" w:line="240" w:lineRule="auto"/>
              <w:jc w:val="both"/>
              <w:rPr>
                <w:sz w:val="20"/>
                <w:szCs w:val="20"/>
              </w:rPr>
            </w:pPr>
            <w:r w:rsidRPr="00A81888">
              <w:rPr>
                <w:sz w:val="20"/>
                <w:szCs w:val="20"/>
              </w:rPr>
              <w:t>As características semelhantes para comprovação da capacidade técnico- operacional da licitante, na forma do art. 30, II c/c § 2º, da Lei Federal n. 8.666/93, são, cumulativamente.</w:t>
            </w:r>
          </w:p>
          <w:p w:rsidR="00981EF4" w:rsidRPr="00A81888" w:rsidRDefault="00981EF4">
            <w:pPr>
              <w:widowControl w:val="0"/>
              <w:spacing w:after="0" w:line="240" w:lineRule="auto"/>
              <w:jc w:val="both"/>
              <w:rPr>
                <w:sz w:val="20"/>
                <w:szCs w:val="20"/>
              </w:rPr>
            </w:pPr>
          </w:p>
          <w:p w:rsidR="00981EF4" w:rsidRPr="00A81888" w:rsidRDefault="00F95FEF">
            <w:pPr>
              <w:widowControl w:val="0"/>
              <w:numPr>
                <w:ilvl w:val="0"/>
                <w:numId w:val="1"/>
              </w:numPr>
              <w:spacing w:after="0" w:line="240" w:lineRule="auto"/>
              <w:jc w:val="both"/>
              <w:rPr>
                <w:sz w:val="20"/>
                <w:szCs w:val="20"/>
              </w:rPr>
            </w:pPr>
            <w:r w:rsidRPr="00A81888">
              <w:rPr>
                <w:sz w:val="20"/>
                <w:szCs w:val="20"/>
              </w:rPr>
              <w:t>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981EF4" w:rsidRPr="00A81888" w:rsidRDefault="00981EF4">
            <w:pPr>
              <w:widowControl w:val="0"/>
              <w:spacing w:after="0" w:line="240" w:lineRule="auto"/>
              <w:jc w:val="both"/>
              <w:rPr>
                <w:sz w:val="20"/>
                <w:szCs w:val="20"/>
              </w:rPr>
            </w:pPr>
          </w:p>
          <w:p w:rsidR="00981EF4" w:rsidRPr="00A81888" w:rsidRDefault="00F95FEF">
            <w:pPr>
              <w:widowControl w:val="0"/>
              <w:numPr>
                <w:ilvl w:val="0"/>
                <w:numId w:val="1"/>
              </w:numPr>
              <w:spacing w:after="0" w:line="240" w:lineRule="auto"/>
              <w:jc w:val="both"/>
              <w:rPr>
                <w:sz w:val="20"/>
                <w:szCs w:val="20"/>
              </w:rPr>
            </w:pPr>
            <w:r w:rsidRPr="00A81888">
              <w:rPr>
                <w:sz w:val="20"/>
                <w:szCs w:val="20"/>
              </w:rPr>
              <w:t>Será admitido o somatório de atestados, seja para comprovação de experiência anterior da licitante na execução das obras e/ou serviços de engenharia.</w:t>
            </w:r>
          </w:p>
          <w:p w:rsidR="00981EF4" w:rsidRPr="00A81888" w:rsidRDefault="00981EF4">
            <w:pPr>
              <w:widowControl w:val="0"/>
              <w:spacing w:after="0" w:line="240" w:lineRule="auto"/>
              <w:jc w:val="both"/>
              <w:rPr>
                <w:rFonts w:eastAsia="Calibri"/>
              </w:rPr>
            </w:pPr>
          </w:p>
        </w:tc>
      </w:tr>
      <w:tr w:rsidR="008334BE">
        <w:tc>
          <w:tcPr>
            <w:tcW w:w="8927" w:type="dxa"/>
          </w:tcPr>
          <w:p w:rsidR="008334BE" w:rsidRPr="00A81888" w:rsidRDefault="008334BE">
            <w:pPr>
              <w:widowControl w:val="0"/>
              <w:spacing w:after="0" w:line="240" w:lineRule="auto"/>
              <w:rPr>
                <w:rFonts w:eastAsia="Calibri"/>
              </w:rPr>
            </w:pP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3. LEVANTAMENTO DE MERCADO</w:t>
            </w:r>
          </w:p>
        </w:tc>
      </w:tr>
      <w:tr w:rsidR="00981EF4">
        <w:tc>
          <w:tcPr>
            <w:tcW w:w="8927" w:type="dxa"/>
          </w:tcPr>
          <w:p w:rsidR="00981EF4" w:rsidRDefault="00F95FEF">
            <w:pPr>
              <w:widowControl w:val="0"/>
              <w:spacing w:after="0" w:line="240" w:lineRule="auto"/>
              <w:jc w:val="both"/>
              <w:rPr>
                <w:color w:val="0000FF"/>
                <w:sz w:val="20"/>
                <w:szCs w:val="20"/>
              </w:rPr>
            </w:pPr>
            <w:r>
              <w:rPr>
                <w:rFonts w:eastAsia="Calibri"/>
                <w:sz w:val="20"/>
                <w:szCs w:val="20"/>
              </w:rPr>
              <w:t xml:space="preserve">Levantamento de preços baseado em planilhas de composições de </w:t>
            </w:r>
            <w:r w:rsidRPr="00F95FEF">
              <w:rPr>
                <w:rFonts w:eastAsia="Calibri"/>
                <w:sz w:val="20"/>
                <w:szCs w:val="20"/>
              </w:rPr>
              <w:t xml:space="preserve">custos </w:t>
            </w:r>
            <w:r w:rsidRPr="00F95FEF">
              <w:rPr>
                <w:sz w:val="20"/>
                <w:szCs w:val="20"/>
              </w:rPr>
              <w:t>fornecidas pelo Estado (DER), e planilhas de composição de custos fornecida pela federação (SINAPI).</w:t>
            </w:r>
            <w:r w:rsidRPr="00F95FEF">
              <w:rPr>
                <w:sz w:val="20"/>
                <w:szCs w:val="20"/>
                <w:shd w:val="clear" w:color="auto" w:fill="FFFF00"/>
              </w:rPr>
              <w:t xml:space="preserve"> </w:t>
            </w:r>
          </w:p>
        </w:tc>
      </w:tr>
    </w:tbl>
    <w:p w:rsidR="00981EF4" w:rsidRDefault="00981EF4">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4. DESCRIÇÃO DA SOLUÇÃO COMO UM TODO</w:t>
            </w:r>
          </w:p>
        </w:tc>
      </w:tr>
      <w:tr w:rsidR="00981EF4">
        <w:tc>
          <w:tcPr>
            <w:tcW w:w="8927" w:type="dxa"/>
          </w:tcPr>
          <w:p w:rsidR="00981EF4" w:rsidRDefault="00F95FEF">
            <w:pPr>
              <w:widowControl w:val="0"/>
              <w:spacing w:after="0" w:line="240" w:lineRule="auto"/>
              <w:jc w:val="both"/>
              <w:rPr>
                <w:color w:val="C9211E"/>
                <w:sz w:val="20"/>
                <w:szCs w:val="20"/>
                <w:shd w:val="clear" w:color="auto" w:fill="FFFF00"/>
              </w:rPr>
            </w:pPr>
            <w:r>
              <w:rPr>
                <w:rFonts w:eastAsia="Calibri"/>
                <w:sz w:val="20"/>
                <w:szCs w:val="20"/>
              </w:rPr>
              <w:t>A solução adotada para findar os problemas foi a construção de um edifício para o CREAS.</w:t>
            </w: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5. ESTIMATIVA DAS QUANTIDADES</w:t>
            </w:r>
          </w:p>
        </w:tc>
      </w:tr>
      <w:tr w:rsidR="00981EF4">
        <w:tc>
          <w:tcPr>
            <w:tcW w:w="8927" w:type="dxa"/>
          </w:tcPr>
          <w:p w:rsidR="00981EF4" w:rsidRDefault="00F95FEF">
            <w:pPr>
              <w:widowControl w:val="0"/>
              <w:spacing w:after="0" w:line="240" w:lineRule="auto"/>
              <w:jc w:val="both"/>
              <w:rPr>
                <w:rFonts w:eastAsia="Calibri"/>
              </w:rPr>
            </w:pPr>
            <w:r>
              <w:rPr>
                <w:rFonts w:eastAsia="Calibri"/>
                <w:sz w:val="20"/>
                <w:szCs w:val="20"/>
              </w:rPr>
              <w:t>As quantidades de materiais foram levantadas tendo como base o projeto executivo de seus valores podem ser verificados na memória de cálculo em anexo.</w:t>
            </w:r>
            <w:r w:rsidR="00A81888">
              <w:rPr>
                <w:rFonts w:eastAsia="Calibri"/>
                <w:sz w:val="20"/>
                <w:szCs w:val="20"/>
              </w:rPr>
              <w:t xml:space="preserve"> </w:t>
            </w:r>
            <w:r>
              <w:rPr>
                <w:rFonts w:eastAsia="Calibri"/>
                <w:sz w:val="20"/>
                <w:szCs w:val="20"/>
              </w:rPr>
              <w:t xml:space="preserve">Seus valores podem ser verificados na </w:t>
            </w:r>
            <w:r>
              <w:rPr>
                <w:rFonts w:eastAsia="Calibri"/>
                <w:sz w:val="20"/>
                <w:szCs w:val="20"/>
              </w:rPr>
              <w:lastRenderedPageBreak/>
              <w:t>memória de cálculo em anexo.</w:t>
            </w: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6. ESTIMATIVA DO VALOR DA CONTRATAÇÃO</w:t>
            </w:r>
          </w:p>
        </w:tc>
      </w:tr>
      <w:tr w:rsidR="00981EF4">
        <w:tc>
          <w:tcPr>
            <w:tcW w:w="8927" w:type="dxa"/>
          </w:tcPr>
          <w:p w:rsidR="00981EF4" w:rsidRPr="00131C93" w:rsidRDefault="00F95FEF">
            <w:pPr>
              <w:widowControl w:val="0"/>
              <w:spacing w:after="0" w:line="240" w:lineRule="auto"/>
              <w:jc w:val="both"/>
              <w:rPr>
                <w:rFonts w:eastAsia="Calibri"/>
                <w:sz w:val="20"/>
                <w:szCs w:val="20"/>
              </w:rPr>
            </w:pPr>
            <w:r w:rsidRPr="00F95FEF">
              <w:rPr>
                <w:rFonts w:eastAsia="Calibri"/>
                <w:sz w:val="20"/>
                <w:szCs w:val="20"/>
              </w:rPr>
              <w:t xml:space="preserve">O valor estimado da contratação foi obtido a partir dos referenciais de preços de serviços disponibilizados pelo </w:t>
            </w:r>
            <w:r w:rsidRPr="00131C93">
              <w:rPr>
                <w:rFonts w:eastAsia="Calibri"/>
                <w:sz w:val="20"/>
                <w:szCs w:val="20"/>
              </w:rPr>
              <w:t>governo estadual (DER), e federal (SINAPI).</w:t>
            </w:r>
          </w:p>
          <w:p w:rsidR="00981EF4" w:rsidRDefault="00F95FEF">
            <w:pPr>
              <w:widowControl w:val="0"/>
              <w:spacing w:after="0" w:line="240" w:lineRule="auto"/>
              <w:jc w:val="both"/>
              <w:rPr>
                <w:rFonts w:eastAsia="Calibri"/>
              </w:rPr>
            </w:pPr>
            <w:r w:rsidRPr="00F95FEF">
              <w:rPr>
                <w:sz w:val="20"/>
                <w:szCs w:val="20"/>
              </w:rPr>
              <w:t>A proposta da Prefeitura Municipal pode ser verificada na planilha orçamentária em anexo.</w:t>
            </w: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7. PARCELAMENTO OU NÃO DA SOLUÇÃO</w:t>
            </w:r>
          </w:p>
        </w:tc>
      </w:tr>
      <w:tr w:rsidR="00981EF4">
        <w:tc>
          <w:tcPr>
            <w:tcW w:w="8927" w:type="dxa"/>
          </w:tcPr>
          <w:p w:rsidR="00981EF4" w:rsidRDefault="00F95FEF">
            <w:pPr>
              <w:widowControl w:val="0"/>
              <w:spacing w:after="0" w:line="240" w:lineRule="auto"/>
              <w:jc w:val="both"/>
              <w:rPr>
                <w:sz w:val="20"/>
                <w:szCs w:val="20"/>
              </w:rPr>
            </w:pPr>
            <w:r>
              <w:rPr>
                <w:rFonts w:eastAsia="Calibri"/>
                <w:sz w:val="20"/>
                <w:szCs w:val="20"/>
              </w:rPr>
              <w:t>A licitação sob regime de empreitada por preço unitário.</w:t>
            </w:r>
          </w:p>
        </w:tc>
      </w:tr>
    </w:tbl>
    <w:p w:rsidR="00981EF4" w:rsidRDefault="00981EF4">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8. CONTRATAÇÕES CORRELATAS E/OU INTERDEPENDENTES</w:t>
            </w:r>
          </w:p>
        </w:tc>
      </w:tr>
      <w:tr w:rsidR="00981EF4">
        <w:tc>
          <w:tcPr>
            <w:tcW w:w="8927" w:type="dxa"/>
          </w:tcPr>
          <w:p w:rsidR="00981EF4" w:rsidRDefault="00F95FEF">
            <w:pPr>
              <w:widowControl w:val="0"/>
              <w:spacing w:after="0" w:line="240" w:lineRule="auto"/>
              <w:jc w:val="both"/>
              <w:rPr>
                <w:rFonts w:eastAsia="Calibri"/>
              </w:rPr>
            </w:pPr>
            <w:r>
              <w:rPr>
                <w:sz w:val="20"/>
                <w:szCs w:val="20"/>
              </w:rPr>
              <w:t>Não há necessidade de contratações correlatas.</w:t>
            </w:r>
            <w:r>
              <w:rPr>
                <w:rFonts w:eastAsia="Calibri"/>
              </w:rPr>
              <w:t xml:space="preserve"> </w:t>
            </w: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9. ALINHAMENTO ENTRE A CONTRATAÇÃO E O PLANEJAMENTO</w:t>
            </w:r>
          </w:p>
        </w:tc>
      </w:tr>
      <w:tr w:rsidR="00A81888" w:rsidRPr="00A81888">
        <w:tc>
          <w:tcPr>
            <w:tcW w:w="8927" w:type="dxa"/>
          </w:tcPr>
          <w:p w:rsidR="00F95FEF" w:rsidRPr="00131C93" w:rsidRDefault="00F95FEF">
            <w:pPr>
              <w:widowControl w:val="0"/>
              <w:spacing w:after="0" w:line="240" w:lineRule="auto"/>
              <w:jc w:val="both"/>
              <w:rPr>
                <w:rFonts w:eastAsia="Calibri"/>
                <w:sz w:val="20"/>
                <w:szCs w:val="20"/>
              </w:rPr>
            </w:pPr>
            <w:r w:rsidRPr="00131C93">
              <w:rPr>
                <w:rFonts w:eastAsia="Calibri"/>
                <w:sz w:val="20"/>
                <w:szCs w:val="20"/>
              </w:rPr>
              <w:t xml:space="preserve">É necessário que a contratada esteja ciente do local onde será executada a obra seguindo os projetos, planilha orçamentária e o cronograma físico-financeiro a fim de que não ocorra uma execução divergente da solicitada. Para dessa forma consiga atender as necessidades das atividades a serem executadas no CREAS. </w:t>
            </w:r>
          </w:p>
          <w:p w:rsidR="00981EF4" w:rsidRPr="00A81888" w:rsidRDefault="00F95FEF">
            <w:pPr>
              <w:widowControl w:val="0"/>
              <w:spacing w:after="0" w:line="240" w:lineRule="auto"/>
              <w:jc w:val="both"/>
              <w:rPr>
                <w:sz w:val="20"/>
                <w:szCs w:val="20"/>
              </w:rPr>
            </w:pPr>
            <w:r w:rsidRPr="00A81888">
              <w:rPr>
                <w:rFonts w:eastAsia="Calibri"/>
                <w:sz w:val="20"/>
                <w:szCs w:val="20"/>
              </w:rPr>
              <w:t>Por essa razão, a estratégia de contratação mais conveniente dá-se pela modalidade tomada de preços, com fundamento no art. 22 da lei 8.666/93, sob regime de empreitada por preço unitário.</w:t>
            </w:r>
          </w:p>
        </w:tc>
      </w:tr>
    </w:tbl>
    <w:p w:rsidR="00981EF4" w:rsidRPr="00A81888"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81888" w:rsidRPr="00A81888">
        <w:tc>
          <w:tcPr>
            <w:tcW w:w="8927" w:type="dxa"/>
            <w:shd w:val="clear" w:color="auto" w:fill="BFBFBF" w:themeFill="background1" w:themeFillShade="BF"/>
          </w:tcPr>
          <w:p w:rsidR="00981EF4" w:rsidRPr="00A81888" w:rsidRDefault="00F95FEF">
            <w:pPr>
              <w:widowControl w:val="0"/>
              <w:spacing w:after="0" w:line="240" w:lineRule="auto"/>
              <w:jc w:val="both"/>
              <w:rPr>
                <w:b/>
              </w:rPr>
            </w:pPr>
            <w:r w:rsidRPr="00A81888">
              <w:rPr>
                <w:rFonts w:eastAsia="Calibri"/>
                <w:b/>
              </w:rPr>
              <w:t>10. RESULTADOS PRETENDIDOS</w:t>
            </w:r>
          </w:p>
        </w:tc>
      </w:tr>
      <w:tr w:rsidR="00A81888" w:rsidRPr="00A81888">
        <w:trPr>
          <w:trHeight w:val="294"/>
        </w:trPr>
        <w:tc>
          <w:tcPr>
            <w:tcW w:w="8927" w:type="dxa"/>
          </w:tcPr>
          <w:p w:rsidR="00981EF4" w:rsidRPr="00A81888" w:rsidRDefault="00F95FEF" w:rsidP="00F95FEF">
            <w:pPr>
              <w:widowControl w:val="0"/>
              <w:spacing w:after="0" w:line="240" w:lineRule="auto"/>
              <w:jc w:val="both"/>
              <w:rPr>
                <w:sz w:val="20"/>
                <w:szCs w:val="20"/>
                <w:shd w:val="clear" w:color="auto" w:fill="FFFF00"/>
              </w:rPr>
            </w:pPr>
            <w:r w:rsidRPr="00131C93">
              <w:rPr>
                <w:rFonts w:eastAsia="Calibri"/>
                <w:sz w:val="20"/>
                <w:szCs w:val="20"/>
              </w:rPr>
              <w:t>Com a execução da obra pretende-se aumentar e melhorar as condições de atendimento de assistência social para a população.</w:t>
            </w:r>
            <w:r w:rsidRPr="00A81888">
              <w:rPr>
                <w:sz w:val="20"/>
                <w:szCs w:val="20"/>
                <w:shd w:val="clear" w:color="auto" w:fill="FFFF00"/>
              </w:rPr>
              <w:t xml:space="preserve"> </w:t>
            </w: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11. PROVIDÊNCIAS A SEREM ADOTADAS</w:t>
            </w:r>
          </w:p>
        </w:tc>
      </w:tr>
      <w:tr w:rsidR="00981EF4">
        <w:tc>
          <w:tcPr>
            <w:tcW w:w="8927" w:type="dxa"/>
          </w:tcPr>
          <w:p w:rsidR="00981EF4" w:rsidRDefault="00F95FEF">
            <w:pPr>
              <w:widowControl w:val="0"/>
              <w:spacing w:after="0" w:line="240" w:lineRule="auto"/>
              <w:jc w:val="both"/>
              <w:rPr>
                <w:rFonts w:eastAsia="Calibri"/>
              </w:rPr>
            </w:pPr>
            <w:r>
              <w:rPr>
                <w:rFonts w:eastAsia="Calibri"/>
                <w:sz w:val="20"/>
                <w:szCs w:val="20"/>
              </w:rPr>
              <w:t>Não há providências a serem adotadas pela Administração previamente à celebração do contrato</w:t>
            </w:r>
            <w:r>
              <w:rPr>
                <w:rFonts w:eastAsia="Calibri"/>
              </w:rPr>
              <w:t>.</w:t>
            </w: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12. IMPACTOS AMBIENTAIS</w:t>
            </w:r>
          </w:p>
        </w:tc>
      </w:tr>
      <w:tr w:rsidR="00981EF4">
        <w:tc>
          <w:tcPr>
            <w:tcW w:w="8927" w:type="dxa"/>
          </w:tcPr>
          <w:p w:rsidR="00981EF4" w:rsidRDefault="00F95FEF">
            <w:pPr>
              <w:widowControl w:val="0"/>
              <w:spacing w:after="0" w:line="240" w:lineRule="auto"/>
              <w:jc w:val="both"/>
            </w:pPr>
            <w:r>
              <w:rPr>
                <w:rFonts w:eastAsia="Calibri"/>
                <w:sz w:val="20"/>
                <w:szCs w:val="20"/>
              </w:rPr>
              <w:t>Em regra, não se vislumbra impactos ambientais decorrentes da contratação.</w:t>
            </w:r>
          </w:p>
        </w:tc>
      </w:tr>
    </w:tbl>
    <w:p w:rsidR="00981EF4" w:rsidRDefault="00981EF4">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981EF4">
        <w:tc>
          <w:tcPr>
            <w:tcW w:w="8927" w:type="dxa"/>
            <w:shd w:val="clear" w:color="auto" w:fill="BFBFBF" w:themeFill="background1" w:themeFillShade="BF"/>
          </w:tcPr>
          <w:p w:rsidR="00981EF4" w:rsidRDefault="00F95FEF">
            <w:pPr>
              <w:widowControl w:val="0"/>
              <w:spacing w:after="0" w:line="240" w:lineRule="auto"/>
              <w:jc w:val="both"/>
              <w:rPr>
                <w:b/>
              </w:rPr>
            </w:pPr>
            <w:r>
              <w:rPr>
                <w:rFonts w:eastAsia="Calibri"/>
                <w:b/>
              </w:rPr>
              <w:t>13. VIABILIDADE E RAZOABILIDADE DA CONTRATAÇÃO</w:t>
            </w:r>
          </w:p>
        </w:tc>
      </w:tr>
      <w:tr w:rsidR="00981EF4">
        <w:tc>
          <w:tcPr>
            <w:tcW w:w="8927" w:type="dxa"/>
          </w:tcPr>
          <w:p w:rsidR="00981EF4" w:rsidRDefault="00F95FEF">
            <w:pPr>
              <w:widowControl w:val="0"/>
              <w:spacing w:after="0" w:line="240" w:lineRule="auto"/>
              <w:jc w:val="both"/>
              <w:rPr>
                <w:sz w:val="20"/>
                <w:szCs w:val="20"/>
              </w:rPr>
            </w:pPr>
            <w:r>
              <w:rPr>
                <w:rFonts w:eastAsia="Calibri"/>
                <w:sz w:val="20"/>
                <w:szCs w:val="20"/>
              </w:rPr>
              <w:t>Os estudos preliminares indicam que esta forma de contratação é perfeitamente viável e que maximiza a probabilidade do alcance dos resultados pretendidos.</w:t>
            </w:r>
          </w:p>
          <w:p w:rsidR="00981EF4" w:rsidRDefault="00F95FEF">
            <w:pPr>
              <w:widowControl w:val="0"/>
              <w:spacing w:after="0" w:line="240" w:lineRule="auto"/>
              <w:jc w:val="both"/>
              <w:rPr>
                <w:rFonts w:eastAsia="Calibri"/>
              </w:rPr>
            </w:pPr>
            <w:r>
              <w:rPr>
                <w:sz w:val="20"/>
                <w:szCs w:val="20"/>
              </w:rPr>
              <w:t xml:space="preserve">Diante do exposto o(a) responsável declara ser viável a contratação da solução pretendida, </w:t>
            </w:r>
            <w:r>
              <w:rPr>
                <w:rFonts w:eastAsia="Calibri"/>
                <w:sz w:val="20"/>
                <w:szCs w:val="20"/>
              </w:rPr>
              <w:t>com base neste Estudo Técnico Preliminar.</w:t>
            </w:r>
          </w:p>
        </w:tc>
      </w:tr>
    </w:tbl>
    <w:p w:rsidR="00981EF4" w:rsidRDefault="00981EF4">
      <w:pPr>
        <w:jc w:val="center"/>
      </w:pPr>
    </w:p>
    <w:p w:rsidR="00981EF4" w:rsidRPr="00F95FEF" w:rsidRDefault="00F95FEF">
      <w:pPr>
        <w:jc w:val="center"/>
      </w:pPr>
      <w:r w:rsidRPr="00F95FEF">
        <w:t>Venda Nova do Imigrante</w:t>
      </w:r>
      <w:r w:rsidRPr="00131C93">
        <w:t xml:space="preserve">, 22 de </w:t>
      </w:r>
      <w:r w:rsidRPr="00131C93">
        <w:tab/>
        <w:t>novembro de 2022</w:t>
      </w:r>
    </w:p>
    <w:p w:rsidR="00981EF4" w:rsidRPr="00F95FEF" w:rsidRDefault="00981EF4">
      <w:pPr>
        <w:jc w:val="center"/>
      </w:pPr>
    </w:p>
    <w:p w:rsidR="00981EF4" w:rsidRPr="00F95FEF" w:rsidRDefault="00F95FEF">
      <w:pPr>
        <w:jc w:val="center"/>
      </w:pPr>
      <w:r w:rsidRPr="00F95FEF">
        <w:t>____________________________________</w:t>
      </w:r>
    </w:p>
    <w:p w:rsidR="00981EF4" w:rsidRPr="00131C93" w:rsidRDefault="00F95FEF">
      <w:pPr>
        <w:jc w:val="center"/>
      </w:pPr>
      <w:r w:rsidRPr="00131C93">
        <w:t>SECRETARIA MUNICIPAL DE ASSISTÊNCIA SOCIAL</w:t>
      </w:r>
    </w:p>
    <w:sectPr w:rsidR="00981EF4" w:rsidRPr="00131C93">
      <w:footerReference w:type="default" r:id="rId9"/>
      <w:pgSz w:w="11906" w:h="16838"/>
      <w:pgMar w:top="1701" w:right="1134" w:bottom="1134" w:left="1701" w:header="567" w:footer="45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186" w:rsidRDefault="00F95FEF">
      <w:pPr>
        <w:spacing w:after="0" w:line="240" w:lineRule="auto"/>
      </w:pPr>
      <w:r>
        <w:separator/>
      </w:r>
    </w:p>
  </w:endnote>
  <w:endnote w:type="continuationSeparator" w:id="0">
    <w:p w:rsidR="008E3186" w:rsidRDefault="00F95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049029"/>
      <w:docPartObj>
        <w:docPartGallery w:val="Page Numbers (Top of Page)"/>
        <w:docPartUnique/>
      </w:docPartObj>
    </w:sdtPr>
    <w:sdtEndPr/>
    <w:sdtContent>
      <w:p w:rsidR="00981EF4" w:rsidRDefault="00F95FEF">
        <w:pPr>
          <w:pStyle w:val="Rodap"/>
          <w:jc w:val="right"/>
        </w:pPr>
        <w:r>
          <w:rPr>
            <w:b/>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252E9A">
          <w:rPr>
            <w:b/>
            <w:bCs/>
            <w:noProof/>
            <w:sz w:val="20"/>
            <w:szCs w:val="20"/>
          </w:rPr>
          <w:t>3</w:t>
        </w:r>
        <w:r>
          <w:rPr>
            <w:b/>
            <w:bCs/>
            <w:sz w:val="20"/>
            <w:szCs w:val="20"/>
          </w:rPr>
          <w:fldChar w:fldCharType="end"/>
        </w:r>
        <w:r>
          <w:rPr>
            <w:b/>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252E9A">
          <w:rPr>
            <w:b/>
            <w:bCs/>
            <w:noProof/>
            <w:sz w:val="20"/>
            <w:szCs w:val="20"/>
          </w:rPr>
          <w:t>3</w:t>
        </w:r>
        <w:r>
          <w:rPr>
            <w:b/>
            <w:bCs/>
            <w:sz w:val="20"/>
            <w:szCs w:val="20"/>
          </w:rPr>
          <w:fldChar w:fldCharType="end"/>
        </w:r>
      </w:p>
    </w:sdtContent>
  </w:sdt>
  <w:p w:rsidR="00981EF4" w:rsidRDefault="00981EF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186" w:rsidRDefault="00F95FEF">
      <w:pPr>
        <w:spacing w:after="0" w:line="240" w:lineRule="auto"/>
      </w:pPr>
      <w:r>
        <w:separator/>
      </w:r>
    </w:p>
  </w:footnote>
  <w:footnote w:type="continuationSeparator" w:id="0">
    <w:p w:rsidR="008E3186" w:rsidRDefault="00F95F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1275A"/>
    <w:multiLevelType w:val="hybridMultilevel"/>
    <w:tmpl w:val="D658A5EA"/>
    <w:lvl w:ilvl="0" w:tplc="B56219FE">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DC534C7"/>
    <w:multiLevelType w:val="multilevel"/>
    <w:tmpl w:val="EE584E8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nsid w:val="4C437038"/>
    <w:multiLevelType w:val="multilevel"/>
    <w:tmpl w:val="C874B39E"/>
    <w:lvl w:ilvl="0">
      <w:start w:val="1"/>
      <w:numFmt w:val="decimal"/>
      <w:lvlText w:val="%1."/>
      <w:lvlJc w:val="left"/>
      <w:pPr>
        <w:tabs>
          <w:tab w:val="num" w:pos="0"/>
        </w:tabs>
        <w:ind w:left="720" w:hanging="360"/>
      </w:p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nsid w:val="5D6D5E9F"/>
    <w:multiLevelType w:val="multilevel"/>
    <w:tmpl w:val="7230FC7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nsid w:val="65000942"/>
    <w:multiLevelType w:val="multilevel"/>
    <w:tmpl w:val="8F3463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F4"/>
    <w:rsid w:val="00131C93"/>
    <w:rsid w:val="00252E9A"/>
    <w:rsid w:val="008334BE"/>
    <w:rsid w:val="00865494"/>
    <w:rsid w:val="008E3186"/>
    <w:rsid w:val="00981EF4"/>
    <w:rsid w:val="00987B03"/>
    <w:rsid w:val="00A47733"/>
    <w:rsid w:val="00A81888"/>
    <w:rsid w:val="00F95FE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B2D0C7-3844-44A0-9423-BCF1A5FE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styleId="TextodoEspaoReservado">
    <w:name w:val="Placeholder Text"/>
    <w:basedOn w:val="Fontepargpadro"/>
    <w:uiPriority w:val="99"/>
    <w:semiHidden/>
    <w:qFormat/>
    <w:rsid w:val="007D35F4"/>
    <w:rPr>
      <w:color w:val="808080"/>
    </w:rPr>
  </w:style>
  <w:style w:type="character" w:customStyle="1" w:styleId="Marcas">
    <w:name w:val="Marca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BF0D0-C39B-4956-A7E4-8728ECF1F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1188</Words>
  <Characters>6416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Eduardo Delfino Botacim</cp:lastModifiedBy>
  <cp:revision>5</cp:revision>
  <cp:lastPrinted>2022-12-12T14:10:00Z</cp:lastPrinted>
  <dcterms:created xsi:type="dcterms:W3CDTF">2022-11-24T15:30:00Z</dcterms:created>
  <dcterms:modified xsi:type="dcterms:W3CDTF">2022-12-12T14:10:00Z</dcterms:modified>
  <dc:language>pt-BR</dc:language>
</cp:coreProperties>
</file>